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60" w:lineRule="auto"/>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60" w:lineRule="auto"/>
        <w:ind w:firstLineChars="0"/>
        <w:rPr>
          <w:rFonts w:ascii="Times New Roman" w:hAnsi="Times New Roman"/>
          <w:sz w:val="24"/>
          <w:szCs w:val="24"/>
        </w:rPr>
      </w:pPr>
      <w:r>
        <w:rPr>
          <w:rFonts w:ascii="Times New Roman" w:hAnsi="Times New Roman"/>
          <w:sz w:val="24"/>
          <w:szCs w:val="24"/>
        </w:rPr>
        <w:t>指导人</w:t>
      </w:r>
      <w:r>
        <w:rPr>
          <w:rFonts w:ascii="Times New Roman" w:hAnsi="Times New Roman"/>
          <w:color w:val="auto"/>
          <w:sz w:val="24"/>
          <w:szCs w:val="24"/>
        </w:rPr>
        <w:t>数不得超过7人，</w:t>
      </w:r>
      <w:r>
        <w:rPr>
          <w:rFonts w:ascii="Times New Roman" w:hAnsi="Times New Roman"/>
          <w:sz w:val="24"/>
          <w:szCs w:val="24"/>
        </w:rPr>
        <w:t>特殊情况由教学院长批准，报教务处备案。</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60" w:lineRule="auto"/>
        <w:ind w:firstLineChars="0"/>
        <w:jc w:val="both"/>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在系统中完成选题、下发任务书、开题、指导记录、论文提交、检测、教师评阅等相关工作；同时，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60" w:lineRule="auto"/>
        <w:ind w:left="-11" w:leftChars="0"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60" w:lineRule="auto"/>
        <w:ind w:left="-11" w:leftChars="0" w:firstLineChars="0"/>
        <w:rPr>
          <w:rFonts w:ascii="Times New Roman" w:hAnsi="Times New Roman"/>
          <w:sz w:val="24"/>
          <w:szCs w:val="24"/>
        </w:rPr>
      </w:pPr>
      <w:r>
        <w:rPr>
          <w:rFonts w:ascii="Times New Roman" w:hAnsi="Times New Roman"/>
          <w:sz w:val="24"/>
          <w:szCs w:val="24"/>
        </w:rPr>
        <w:t>文字复制比大于30%者不允许参加答辩、文字复制比达不到要求者进行通报批评，获得学校优秀毕业设计（论文）提交《山东理工大学优秀学士论文（设计）推荐表》。</w:t>
      </w:r>
    </w:p>
    <w:p>
      <w:pPr>
        <w:pStyle w:val="10"/>
        <w:widowControl/>
        <w:numPr>
          <w:ilvl w:val="0"/>
          <w:numId w:val="4"/>
        </w:numPr>
        <w:spacing w:line="360" w:lineRule="auto"/>
        <w:ind w:left="-11" w:leftChars="0"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在系统中完成选题、开题、工作进程记录、论文提交、检测、总结等相关过程工作；同时，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16-18周，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第七学期19-20周，指导教师整理并完成毕业设计（论文）任务书，确定主要设计内容、主要设计指标与参数、分阶段指导性进度计划，并负责指导学习做好文献资料查询、资料综述、调研等各项工作。</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第七学期20周或第八学期1周，各系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60" w:lineRule="auto"/>
        <w:ind w:firstLine="480" w:firstLineChars="200"/>
        <w:rPr>
          <w:rFonts w:hint="eastAsia" w:ascii="Times New Roman" w:hAnsi="Times New Roman" w:eastAsia="宋体"/>
          <w:color w:val="FF0000"/>
          <w:kern w:val="0"/>
          <w:sz w:val="24"/>
          <w:szCs w:val="24"/>
          <w:lang w:eastAsia="zh-CN"/>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r>
        <w:rPr>
          <w:rFonts w:hint="eastAsia" w:ascii="Times New Roman" w:hAnsi="Times New Roman"/>
          <w:color w:val="FF0000"/>
          <w:kern w:val="0"/>
          <w:sz w:val="24"/>
          <w:szCs w:val="24"/>
          <w:lang w:eastAsia="zh-CN"/>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w:t>
      </w:r>
      <w:r>
        <w:rPr>
          <w:rFonts w:ascii="Times New Roman" w:hAnsi="Times New Roman"/>
          <w:b/>
          <w:bCs/>
          <w:color w:val="FF0000"/>
          <w:kern w:val="0"/>
          <w:sz w:val="24"/>
          <w:szCs w:val="24"/>
        </w:rPr>
        <w:t>不得低于</w:t>
      </w:r>
      <w:r>
        <w:rPr>
          <w:rFonts w:ascii="Times New Roman" w:hAnsi="Times New Roman"/>
          <w:color w:val="000000" w:themeColor="text1"/>
          <w:kern w:val="0"/>
          <w:sz w:val="24"/>
          <w:szCs w:val="24"/>
          <w14:textFill>
            <w14:solidFill>
              <w14:schemeClr w14:val="tx1"/>
            </w14:solidFill>
          </w14:textFill>
        </w:rPr>
        <w:t>各系答辩总人数的</w:t>
      </w:r>
      <w:r>
        <w:rPr>
          <w:rFonts w:ascii="Times New Roman" w:hAnsi="Times New Roman"/>
          <w:b/>
          <w:bCs/>
          <w:color w:val="FF0000"/>
          <w:kern w:val="0"/>
          <w:sz w:val="24"/>
          <w:szCs w:val="24"/>
        </w:rPr>
        <w:t>2.5%</w:t>
      </w:r>
      <w:r>
        <w:rPr>
          <w:rFonts w:ascii="Times New Roman" w:hAnsi="Times New Roman"/>
          <w:color w:val="000000" w:themeColor="text1"/>
          <w:kern w:val="0"/>
          <w:sz w:val="24"/>
          <w:szCs w:val="24"/>
          <w14:textFill>
            <w14:solidFill>
              <w14:schemeClr w14:val="tx1"/>
            </w14:solidFill>
          </w14:textFill>
        </w:rPr>
        <w:t>，数值只入不舍。根据答辩情况，各系答辩小组汇总优秀论文建议名单及二次答辩建议名单，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60" w:lineRule="auto"/>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lang w:val="en-US" w:eastAsia="zh-CN"/>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根据学校规定，各系按2%的比例上报校级优秀毕业设计（论文），通知获得学校优秀毕业设计（论文）的学生提交《山东理工大学优秀学士论文（设计）推荐表》，学院教学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二</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widowControl/>
        <w:spacing w:line="360" w:lineRule="auto"/>
        <w:ind w:firstLine="420"/>
        <w:rPr>
          <w:rFonts w:hint="eastAsia" w:ascii="Times New Roman" w:hAnsi="Times New Roman" w:eastAsia="宋体"/>
          <w:color w:val="FF0000"/>
          <w:kern w:val="0"/>
          <w:sz w:val="24"/>
          <w:szCs w:val="24"/>
          <w:lang w:eastAsia="zh-CN"/>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二</w:t>
      </w:r>
      <w:r>
        <w:rPr>
          <w:rFonts w:ascii="Times New Roman" w:hAnsi="Times New Roman"/>
          <w:color w:val="FF0000"/>
          <w:kern w:val="0"/>
          <w:sz w:val="24"/>
          <w:szCs w:val="24"/>
        </w:rPr>
        <w:t>年六月</w:t>
      </w:r>
      <w:r>
        <w:rPr>
          <w:rFonts w:hint="eastAsia" w:ascii="Times New Roman" w:hAnsi="Times New Roman"/>
          <w:color w:val="FF0000"/>
          <w:kern w:val="0"/>
          <w:sz w:val="24"/>
          <w:szCs w:val="24"/>
          <w:lang w:eastAsia="zh-CN"/>
        </w:rPr>
        <w:t>。</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年</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月</w:t>
      </w:r>
      <w:r>
        <w:rPr>
          <w:rFonts w:hint="eastAsia" w:ascii="Times New Roman" w:hAnsi="Times New Roman"/>
          <w:color w:val="FF0000"/>
          <w:kern w:val="0"/>
          <w:sz w:val="24"/>
          <w:szCs w:val="24"/>
          <w:lang w:val="en-US" w:eastAsia="zh-CN"/>
        </w:rPr>
        <w:t>21</w:t>
      </w:r>
      <w:r>
        <w:rPr>
          <w:rFonts w:ascii="Times New Roman" w:hAnsi="Times New Roman"/>
          <w:color w:val="FF0000"/>
          <w:kern w:val="0"/>
          <w:sz w:val="24"/>
          <w:szCs w:val="24"/>
        </w:rPr>
        <w:t>日至202</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年6月1</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1-2张A3或A3以上手绘图)，毕业设计说明书不少于15000字符，参考文献不低于20篇，其中外文文献不少于3篇。翻译文章不低于5000汉字，内容要尽量结合课题。</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w:t>
      </w:r>
      <w:r>
        <w:rPr>
          <w:rFonts w:hint="eastAsia" w:ascii="Times New Roman" w:hAnsi="Times New Roman"/>
          <w:color w:val="000000" w:themeColor="text1"/>
          <w:kern w:val="0"/>
          <w:sz w:val="24"/>
          <w:szCs w:val="24"/>
          <w:lang w:val="en-US" w:eastAsia="zh-CN"/>
          <w14:textFill>
            <w14:solidFill>
              <w14:schemeClr w14:val="tx1"/>
            </w14:solidFill>
          </w14:textFill>
        </w:rPr>
        <w:t>评分、</w:t>
      </w:r>
      <w:r>
        <w:rPr>
          <w:rFonts w:hint="eastAsia" w:ascii="Times New Roman" w:hAnsi="Times New Roman"/>
          <w:color w:val="000000" w:themeColor="text1"/>
          <w:kern w:val="0"/>
          <w:sz w:val="24"/>
          <w:szCs w:val="24"/>
          <w14:textFill>
            <w14:solidFill>
              <w14:schemeClr w14:val="tx1"/>
            </w14:solidFill>
          </w14:textFill>
        </w:rPr>
        <w:t>中期检查评分、指导教师评分、评阅人评分和答辩评分</w:t>
      </w:r>
      <w:r>
        <w:rPr>
          <w:rFonts w:hint="eastAsia" w:ascii="Times New Roman" w:hAnsi="Times New Roman"/>
          <w:b/>
          <w:bCs/>
          <w:color w:val="000000" w:themeColor="text1"/>
          <w:kern w:val="0"/>
          <w:sz w:val="24"/>
          <w:szCs w:val="24"/>
          <w:lang w:val="en-US" w:eastAsia="zh-CN"/>
          <w14:textFill>
            <w14:solidFill>
              <w14:schemeClr w14:val="tx1"/>
            </w14:solidFill>
          </w14:textFill>
        </w:rPr>
        <w:t>五</w:t>
      </w:r>
      <w:r>
        <w:rPr>
          <w:rFonts w:hint="eastAsia" w:ascii="Times New Roman" w:hAnsi="Times New Roman"/>
          <w:b/>
          <w:bCs/>
          <w:color w:val="000000" w:themeColor="text1"/>
          <w:kern w:val="0"/>
          <w:sz w:val="24"/>
          <w:szCs w:val="24"/>
          <w14:textFill>
            <w14:solidFill>
              <w14:schemeClr w14:val="tx1"/>
            </w14:solidFill>
          </w14:textFill>
        </w:rPr>
        <w:t>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w:t>
      </w:r>
      <w:bookmarkStart w:id="0" w:name="_GoBack"/>
      <w:bookmarkEnd w:id="0"/>
      <w:r>
        <w:rPr>
          <w:rFonts w:hint="eastAsia" w:ascii="Times New Roman" w:hAnsi="Times New Roman"/>
          <w:b/>
          <w:color w:val="FF0000"/>
          <w:kern w:val="0"/>
          <w:sz w:val="24"/>
          <w:szCs w:val="24"/>
        </w:rPr>
        <w:t>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lang w:val="en-US" w:eastAsia="zh-CN"/>
          <w14:textFill>
            <w14:solidFill>
              <w14:schemeClr w14:val="tx1"/>
            </w14:solidFill>
          </w14:textFill>
        </w:rPr>
        <w:t>评分（</w:t>
      </w:r>
      <w:r>
        <w:rPr>
          <w:rFonts w:hint="eastAsia" w:ascii="Times New Roman" w:hAnsi="Times New Roman"/>
          <w:b/>
          <w:bCs/>
          <w:color w:val="FF0000"/>
          <w:kern w:val="0"/>
          <w:sz w:val="24"/>
          <w:szCs w:val="24"/>
          <w:lang w:val="en-US" w:eastAsia="zh-CN"/>
        </w:rPr>
        <w:t>占5%</w:t>
      </w:r>
      <w:r>
        <w:rPr>
          <w:rFonts w:hint="eastAsia" w:ascii="Times New Roman" w:hAnsi="Times New Roman"/>
          <w:color w:val="000000" w:themeColor="text1"/>
          <w:kern w:val="0"/>
          <w:sz w:val="24"/>
          <w:szCs w:val="24"/>
          <w:lang w:val="en-US" w:eastAsia="zh-CN"/>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、中期检查评分(</w:t>
      </w:r>
      <w:r>
        <w:rPr>
          <w:rFonts w:ascii="Times New Roman" w:hAnsi="Times New Roman"/>
          <w:b/>
          <w:bCs/>
          <w:color w:val="FF0000"/>
          <w:kern w:val="0"/>
          <w:sz w:val="24"/>
          <w:szCs w:val="24"/>
        </w:rPr>
        <w:t>占1</w:t>
      </w:r>
      <w:r>
        <w:rPr>
          <w:rFonts w:hint="eastAsia" w:ascii="Times New Roman" w:hAnsi="Times New Roman"/>
          <w:b/>
          <w:bCs/>
          <w:color w:val="FF0000"/>
          <w:kern w:val="0"/>
          <w:sz w:val="24"/>
          <w:szCs w:val="24"/>
          <w:lang w:val="en-US" w:eastAsia="zh-CN"/>
        </w:rPr>
        <w:t>0</w:t>
      </w:r>
      <w:r>
        <w:rPr>
          <w:rFonts w:ascii="Times New Roman" w:hAnsi="Times New Roman"/>
          <w:b/>
          <w:bCs/>
          <w:color w:val="FF0000"/>
          <w:kern w:val="0"/>
          <w:sz w:val="24"/>
          <w:szCs w:val="24"/>
        </w:rPr>
        <w:t>%</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000000" w:themeColor="text1"/>
          <w:kern w:val="0"/>
          <w:sz w:val="24"/>
          <w:szCs w:val="24"/>
          <w:lang w:val="en-US" w:eastAsia="zh-CN"/>
          <w14:textFill>
            <w14:solidFill>
              <w14:schemeClr w14:val="tx1"/>
            </w14:solidFill>
          </w14:textFill>
        </w:rPr>
        <w:t>成绩</w:t>
      </w:r>
      <w:r>
        <w:rPr>
          <w:rFonts w:ascii="Times New Roman" w:hAnsi="Times New Roman"/>
          <w:color w:val="000000" w:themeColor="text1"/>
          <w:kern w:val="0"/>
          <w:sz w:val="24"/>
          <w:szCs w:val="24"/>
          <w14:textFill>
            <w14:solidFill>
              <w14:schemeClr w14:val="tx1"/>
            </w14:solidFill>
          </w14:textFill>
        </w:rPr>
        <w:t>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优秀率控制在20%左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12</w:t>
      </w:r>
      <w:r>
        <w:rPr>
          <w:rFonts w:hint="eastAsia"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17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08E45268"/>
    <w:rsid w:val="0E60406B"/>
    <w:rsid w:val="13184E83"/>
    <w:rsid w:val="141B23E0"/>
    <w:rsid w:val="1DCE38B8"/>
    <w:rsid w:val="250B3771"/>
    <w:rsid w:val="31CB4A99"/>
    <w:rsid w:val="38EF3AAC"/>
    <w:rsid w:val="3B4D4DE7"/>
    <w:rsid w:val="6D3E3D70"/>
    <w:rsid w:val="70875569"/>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8567</Words>
  <Characters>8963</Characters>
  <Lines>63</Lines>
  <Paragraphs>17</Paragraphs>
  <TotalTime>23</TotalTime>
  <ScaleCrop>false</ScaleCrop>
  <LinksUpToDate>false</LinksUpToDate>
  <CharactersWithSpaces>9036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niusi</cp:lastModifiedBy>
  <cp:lastPrinted>2019-05-28T08:39:00Z</cp:lastPrinted>
  <dcterms:modified xsi:type="dcterms:W3CDTF">2022-04-26T09:21:32Z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F4037B96BC224E238C2AEDAAC679E1AA</vt:lpwstr>
  </property>
</Properties>
</file>