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3D5" w:rsidRPr="002B63D5" w:rsidRDefault="002B63D5" w:rsidP="002B63D5">
      <w:pPr>
        <w:widowControl/>
        <w:pBdr>
          <w:bottom w:val="single" w:sz="6" w:space="1" w:color="auto"/>
        </w:pBdr>
        <w:jc w:val="center"/>
        <w:rPr>
          <w:rFonts w:ascii="Arial" w:eastAsia="宋体" w:hAnsi="Arial" w:cs="Arial"/>
          <w:vanish/>
          <w:kern w:val="0"/>
          <w:sz w:val="16"/>
          <w:szCs w:val="16"/>
        </w:rPr>
      </w:pPr>
      <w:r w:rsidRPr="002B63D5">
        <w:rPr>
          <w:rFonts w:ascii="Arial" w:eastAsia="宋体" w:hAnsi="Arial" w:cs="Arial" w:hint="eastAsia"/>
          <w:vanish/>
          <w:kern w:val="0"/>
          <w:sz w:val="16"/>
          <w:szCs w:val="16"/>
        </w:rPr>
        <w:t>窗体顶端</w:t>
      </w:r>
    </w:p>
    <w:tbl>
      <w:tblPr>
        <w:tblW w:w="25508" w:type="dxa"/>
        <w:jc w:val="center"/>
        <w:tblCellSpacing w:w="0" w:type="dxa"/>
        <w:tblCellMar>
          <w:left w:w="0" w:type="dxa"/>
          <w:right w:w="0" w:type="dxa"/>
        </w:tblCellMar>
        <w:tblLook w:val="04A0" w:firstRow="1" w:lastRow="0" w:firstColumn="1" w:lastColumn="0" w:noHBand="0" w:noVBand="1"/>
      </w:tblPr>
      <w:tblGrid>
        <w:gridCol w:w="180"/>
        <w:gridCol w:w="25148"/>
        <w:gridCol w:w="180"/>
      </w:tblGrid>
      <w:tr w:rsidR="002B63D5" w:rsidRPr="002B63D5" w:rsidTr="00391926">
        <w:trPr>
          <w:tblCellSpacing w:w="0" w:type="dxa"/>
          <w:jc w:val="center"/>
        </w:trPr>
        <w:tc>
          <w:tcPr>
            <w:tcW w:w="180" w:type="dxa"/>
            <w:shd w:val="clear" w:color="auto" w:fill="FFFFFF"/>
            <w:vAlign w:val="center"/>
            <w:hideMark/>
          </w:tcPr>
          <w:p w:rsidR="002B63D5" w:rsidRPr="002B63D5" w:rsidRDefault="002B63D5" w:rsidP="002B63D5">
            <w:pPr>
              <w:widowControl/>
              <w:spacing w:line="312" w:lineRule="auto"/>
              <w:jc w:val="left"/>
              <w:rPr>
                <w:rFonts w:ascii="宋体" w:eastAsia="宋体" w:hAnsi="宋体" w:cs="宋体"/>
                <w:kern w:val="0"/>
                <w:sz w:val="18"/>
                <w:szCs w:val="18"/>
              </w:rPr>
            </w:pPr>
            <w:r w:rsidRPr="002B63D5">
              <w:rPr>
                <w:rFonts w:ascii="宋体" w:eastAsia="宋体" w:hAnsi="宋体" w:cs="宋体"/>
                <w:kern w:val="0"/>
                <w:sz w:val="18"/>
                <w:szCs w:val="18"/>
              </w:rPr>
              <w:t> </w:t>
            </w:r>
          </w:p>
        </w:tc>
        <w:tc>
          <w:tcPr>
            <w:tcW w:w="0" w:type="auto"/>
            <w:shd w:val="clear" w:color="auto" w:fill="FFFFFF"/>
            <w:hideMark/>
          </w:tcPr>
          <w:p w:rsidR="002B63D5" w:rsidRPr="002B63D5" w:rsidRDefault="002B63D5" w:rsidP="002B63D5">
            <w:pPr>
              <w:widowControl/>
              <w:spacing w:after="240" w:line="312" w:lineRule="auto"/>
              <w:jc w:val="left"/>
              <w:rPr>
                <w:rFonts w:ascii="宋体" w:eastAsia="宋体" w:hAnsi="宋体" w:cs="宋体"/>
                <w:kern w:val="0"/>
                <w:sz w:val="18"/>
                <w:szCs w:val="18"/>
              </w:rPr>
            </w:pPr>
            <w:r w:rsidRPr="002B63D5">
              <w:rPr>
                <w:rFonts w:ascii="宋体" w:eastAsia="宋体" w:hAnsi="宋体" w:cs="宋体"/>
                <w:kern w:val="0"/>
                <w:sz w:val="18"/>
                <w:szCs w:val="18"/>
              </w:rPr>
              <w:br/>
            </w:r>
          </w:p>
        </w:tc>
        <w:tc>
          <w:tcPr>
            <w:tcW w:w="180" w:type="dxa"/>
            <w:shd w:val="clear" w:color="auto" w:fill="FFFFFF"/>
            <w:vAlign w:val="center"/>
            <w:hideMark/>
          </w:tcPr>
          <w:p w:rsidR="002B63D5" w:rsidRPr="002B63D5" w:rsidRDefault="002B63D5" w:rsidP="002B63D5">
            <w:pPr>
              <w:widowControl/>
              <w:spacing w:line="312" w:lineRule="auto"/>
              <w:jc w:val="left"/>
              <w:rPr>
                <w:rFonts w:ascii="宋体" w:eastAsia="宋体" w:hAnsi="宋体" w:cs="宋体"/>
                <w:kern w:val="0"/>
                <w:sz w:val="18"/>
                <w:szCs w:val="18"/>
              </w:rPr>
            </w:pPr>
            <w:r w:rsidRPr="002B63D5">
              <w:rPr>
                <w:rFonts w:ascii="宋体" w:eastAsia="宋体" w:hAnsi="宋体" w:cs="宋体"/>
                <w:kern w:val="0"/>
                <w:sz w:val="18"/>
                <w:szCs w:val="18"/>
              </w:rPr>
              <w:t> </w:t>
            </w:r>
          </w:p>
        </w:tc>
      </w:tr>
    </w:tbl>
    <w:p w:rsidR="00391926" w:rsidRPr="002B63D5" w:rsidRDefault="00391926" w:rsidP="00391926">
      <w:pPr>
        <w:widowControl/>
        <w:spacing w:before="100" w:beforeAutospacing="1" w:after="100" w:afterAutospacing="1" w:line="312" w:lineRule="auto"/>
        <w:jc w:val="center"/>
        <w:rPr>
          <w:rFonts w:ascii="宋体" w:eastAsia="宋体" w:hAnsi="宋体" w:cs="宋体"/>
          <w:kern w:val="0"/>
          <w:sz w:val="18"/>
          <w:szCs w:val="18"/>
        </w:rPr>
      </w:pPr>
      <w:r w:rsidRPr="002B63D5">
        <w:rPr>
          <w:rFonts w:ascii="宋体" w:eastAsia="宋体" w:hAnsi="宋体" w:cs="宋体" w:hint="eastAsia"/>
          <w:b/>
          <w:bCs/>
          <w:color w:val="FF0000"/>
          <w:kern w:val="0"/>
          <w:sz w:val="75"/>
          <w:szCs w:val="75"/>
        </w:rPr>
        <w:t>山东理工大学教务处</w:t>
      </w:r>
    </w:p>
    <w:p w:rsidR="00391926" w:rsidRPr="002B63D5" w:rsidRDefault="00391926" w:rsidP="00391926">
      <w:pPr>
        <w:widowControl/>
        <w:spacing w:before="100" w:beforeAutospacing="1" w:after="100" w:afterAutospacing="1" w:line="312" w:lineRule="auto"/>
        <w:jc w:val="center"/>
        <w:rPr>
          <w:rFonts w:ascii="宋体" w:eastAsia="宋体" w:hAnsi="宋体" w:cs="宋体"/>
          <w:kern w:val="0"/>
          <w:sz w:val="18"/>
          <w:szCs w:val="18"/>
        </w:rPr>
      </w:pPr>
      <w:r w:rsidRPr="002B63D5">
        <w:rPr>
          <w:rFonts w:ascii="宋体" w:eastAsia="宋体" w:hAnsi="宋体" w:cs="宋体" w:hint="eastAsia"/>
          <w:b/>
          <w:bCs/>
          <w:color w:val="FF0000"/>
          <w:kern w:val="0"/>
          <w:sz w:val="18"/>
          <w:szCs w:val="18"/>
        </w:rPr>
        <w:t>===========================================================================================</w:t>
      </w:r>
      <w:r w:rsidRPr="002B63D5">
        <w:rPr>
          <w:rFonts w:ascii="宋体" w:eastAsia="宋体" w:hAnsi="宋体" w:cs="宋体"/>
          <w:color w:val="000000"/>
          <w:kern w:val="0"/>
          <w:sz w:val="24"/>
          <w:szCs w:val="24"/>
        </w:rPr>
        <w:t xml:space="preserve">                                                                                                        </w:t>
      </w:r>
      <w:r w:rsidRPr="002B63D5">
        <w:rPr>
          <w:rFonts w:ascii="仿宋_GB2312" w:eastAsia="仿宋_GB2312" w:hAnsi="Times New Roman" w:cs="Times New Roman" w:hint="eastAsia"/>
          <w:color w:val="000000"/>
          <w:spacing w:val="-6"/>
          <w:sz w:val="32"/>
          <w:szCs w:val="24"/>
        </w:rPr>
        <w:t>教务函【2015】29号</w:t>
      </w:r>
    </w:p>
    <w:p w:rsidR="00391926" w:rsidRPr="002B63D5" w:rsidRDefault="00391926" w:rsidP="00391926">
      <w:pPr>
        <w:widowControl/>
        <w:shd w:val="solid" w:color="FFFFFF" w:fill="auto"/>
        <w:spacing w:line="560" w:lineRule="exact"/>
        <w:jc w:val="center"/>
        <w:rPr>
          <w:rFonts w:ascii="宋体" w:eastAsia="宋体" w:hAnsi="宋体" w:cs="宋体"/>
          <w:kern w:val="0"/>
          <w:sz w:val="24"/>
          <w:szCs w:val="24"/>
        </w:rPr>
      </w:pPr>
      <w:r w:rsidRPr="002B63D5">
        <w:rPr>
          <w:rFonts w:ascii="宋体" w:eastAsia="宋体" w:hAnsi="宋体" w:cs="宋体"/>
          <w:kern w:val="0"/>
          <w:sz w:val="24"/>
          <w:szCs w:val="24"/>
        </w:rPr>
        <w:t> </w:t>
      </w:r>
    </w:p>
    <w:p w:rsidR="00391926" w:rsidRPr="002B63D5" w:rsidRDefault="00391926" w:rsidP="00391926">
      <w:pPr>
        <w:widowControl/>
        <w:shd w:val="solid" w:color="FFFFFF" w:fill="auto"/>
        <w:spacing w:line="560" w:lineRule="exact"/>
        <w:jc w:val="center"/>
        <w:rPr>
          <w:rFonts w:ascii="宋体" w:eastAsia="宋体" w:hAnsi="宋体" w:cs="宋体"/>
          <w:kern w:val="0"/>
          <w:sz w:val="24"/>
          <w:szCs w:val="24"/>
        </w:rPr>
      </w:pPr>
      <w:r w:rsidRPr="002B63D5">
        <w:rPr>
          <w:rFonts w:ascii="宋体" w:eastAsia="宋体" w:hAnsi="宋体" w:cs="宋体" w:hint="eastAsia"/>
          <w:b/>
          <w:kern w:val="0"/>
          <w:sz w:val="44"/>
          <w:szCs w:val="24"/>
          <w:shd w:val="clear" w:color="auto" w:fill="FFFFFF"/>
        </w:rPr>
        <w:t>关于公布《山东理工大学</w:t>
      </w:r>
    </w:p>
    <w:p w:rsidR="00391926" w:rsidRPr="002B63D5" w:rsidRDefault="00391926" w:rsidP="00391926">
      <w:pPr>
        <w:widowControl/>
        <w:shd w:val="solid" w:color="FFFFFF" w:fill="auto"/>
        <w:spacing w:line="560" w:lineRule="exact"/>
        <w:jc w:val="center"/>
        <w:rPr>
          <w:rFonts w:ascii="宋体" w:eastAsia="宋体" w:hAnsi="宋体" w:cs="宋体"/>
          <w:kern w:val="0"/>
          <w:sz w:val="24"/>
          <w:szCs w:val="24"/>
        </w:rPr>
      </w:pPr>
      <w:r w:rsidRPr="002B63D5">
        <w:rPr>
          <w:rFonts w:ascii="宋体" w:eastAsia="宋体" w:hAnsi="宋体" w:cs="宋体" w:hint="eastAsia"/>
          <w:b/>
          <w:kern w:val="0"/>
          <w:sz w:val="44"/>
          <w:szCs w:val="24"/>
          <w:shd w:val="clear" w:color="auto" w:fill="FFFFFF"/>
        </w:rPr>
        <w:t>青年教师讲课比赛组织与奖励办法》的通知</w:t>
      </w:r>
    </w:p>
    <w:p w:rsidR="00391926" w:rsidRPr="002B63D5" w:rsidRDefault="00391926" w:rsidP="00391926">
      <w:pPr>
        <w:widowControl/>
        <w:spacing w:line="560" w:lineRule="exact"/>
        <w:jc w:val="left"/>
        <w:rPr>
          <w:rFonts w:ascii="宋体" w:eastAsia="宋体" w:hAnsi="宋体" w:cs="宋体"/>
          <w:kern w:val="0"/>
          <w:sz w:val="24"/>
          <w:szCs w:val="24"/>
        </w:rPr>
      </w:pPr>
      <w:r w:rsidRPr="002B63D5">
        <w:rPr>
          <w:rFonts w:ascii="宋体" w:eastAsia="宋体" w:hAnsi="宋体" w:cs="宋体" w:hint="eastAsia"/>
          <w:kern w:val="0"/>
          <w:sz w:val="32"/>
          <w:szCs w:val="32"/>
        </w:rPr>
        <w:t> </w:t>
      </w:r>
    </w:p>
    <w:p w:rsidR="00391926" w:rsidRPr="002B63D5" w:rsidRDefault="00391926" w:rsidP="00391926">
      <w:pPr>
        <w:widowControl/>
        <w:spacing w:line="560" w:lineRule="exact"/>
        <w:jc w:val="left"/>
        <w:rPr>
          <w:rFonts w:ascii="宋体" w:eastAsia="宋体" w:hAnsi="宋体" w:cs="宋体"/>
          <w:kern w:val="0"/>
          <w:sz w:val="24"/>
          <w:szCs w:val="24"/>
        </w:rPr>
      </w:pPr>
      <w:r w:rsidRPr="002B63D5">
        <w:rPr>
          <w:rFonts w:ascii="仿宋_GB2312" w:eastAsia="仿宋_GB2312" w:hAnsi="仿宋" w:cs="宋体" w:hint="eastAsia"/>
          <w:kern w:val="0"/>
          <w:sz w:val="32"/>
          <w:szCs w:val="32"/>
        </w:rPr>
        <w:t>各部门、单位：</w:t>
      </w:r>
    </w:p>
    <w:p w:rsidR="00391926" w:rsidRPr="002B63D5" w:rsidRDefault="00391926" w:rsidP="00391926">
      <w:pPr>
        <w:widowControl/>
        <w:spacing w:line="58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为促进学校青年教师讲课比赛更加规范有</w:t>
      </w:r>
      <w:r w:rsidRPr="002B63D5">
        <w:rPr>
          <w:rFonts w:ascii="仿宋_GB2312" w:eastAsia="仿宋_GB2312" w:hAnsi="宋体" w:cs="宋体" w:hint="eastAsia"/>
          <w:kern w:val="0"/>
          <w:sz w:val="32"/>
          <w:szCs w:val="32"/>
        </w:rPr>
        <w:t>序，切实提高青年教师教学水平，特制定《山东理工大学青年教师讲课比赛组织与奖励办法》，现予以公布。</w:t>
      </w:r>
      <w:r w:rsidRPr="002B63D5">
        <w:rPr>
          <w:rFonts w:ascii="仿宋_GB2312" w:eastAsia="仿宋_GB2312" w:hAnsi="宋体" w:cs="宋体" w:hint="eastAsia"/>
          <w:kern w:val="0"/>
          <w:sz w:val="32"/>
          <w:szCs w:val="32"/>
        </w:rPr>
        <w:t> </w:t>
      </w:r>
    </w:p>
    <w:p w:rsidR="00391926" w:rsidRDefault="00391926" w:rsidP="00391926">
      <w:pPr>
        <w:widowControl/>
        <w:spacing w:line="580" w:lineRule="exact"/>
        <w:ind w:leftChars="600" w:left="1260" w:firstLineChars="1650" w:firstLine="5280"/>
        <w:jc w:val="left"/>
        <w:rPr>
          <w:rFonts w:ascii="仿宋_GB2312" w:eastAsia="仿宋_GB2312" w:hAnsi="宋体" w:cs="宋体"/>
          <w:kern w:val="0"/>
          <w:sz w:val="32"/>
          <w:szCs w:val="32"/>
        </w:rPr>
      </w:pPr>
    </w:p>
    <w:p w:rsidR="00391926" w:rsidRPr="002B63D5" w:rsidRDefault="00391926" w:rsidP="00391926">
      <w:pPr>
        <w:widowControl/>
        <w:spacing w:line="580" w:lineRule="exact"/>
        <w:ind w:firstLineChars="2000" w:firstLine="6400"/>
        <w:jc w:val="left"/>
        <w:rPr>
          <w:rFonts w:ascii="宋体" w:eastAsia="宋体" w:hAnsi="宋体" w:cs="宋体"/>
          <w:kern w:val="0"/>
          <w:sz w:val="24"/>
          <w:szCs w:val="24"/>
        </w:rPr>
      </w:pPr>
      <w:r w:rsidRPr="002B63D5">
        <w:rPr>
          <w:rFonts w:ascii="仿宋_GB2312" w:eastAsia="仿宋_GB2312" w:hAnsi="宋体" w:cs="宋体" w:hint="eastAsia"/>
          <w:kern w:val="0"/>
          <w:sz w:val="32"/>
          <w:szCs w:val="32"/>
        </w:rPr>
        <w:t>教务处</w:t>
      </w:r>
    </w:p>
    <w:p w:rsidR="00391926" w:rsidRDefault="00391926" w:rsidP="00391926">
      <w:pPr>
        <w:widowControl/>
        <w:spacing w:line="580" w:lineRule="exact"/>
        <w:ind w:firstLineChars="1750" w:firstLine="5600"/>
        <w:jc w:val="left"/>
        <w:rPr>
          <w:rFonts w:ascii="仿宋_GB2312" w:eastAsia="仿宋_GB2312" w:hAnsi="宋体" w:cs="宋体"/>
          <w:kern w:val="0"/>
          <w:sz w:val="32"/>
          <w:szCs w:val="32"/>
        </w:rPr>
      </w:pPr>
      <w:r w:rsidRPr="002B63D5">
        <w:rPr>
          <w:rFonts w:ascii="仿宋_GB2312" w:eastAsia="仿宋_GB2312" w:hAnsi="宋体" w:cs="宋体" w:hint="eastAsia"/>
          <w:kern w:val="0"/>
          <w:sz w:val="32"/>
          <w:szCs w:val="32"/>
        </w:rPr>
        <w:t>2015年3月13日</w:t>
      </w:r>
    </w:p>
    <w:p w:rsidR="00391926" w:rsidRDefault="00391926" w:rsidP="00391926">
      <w:pPr>
        <w:widowControl/>
        <w:spacing w:line="580" w:lineRule="exact"/>
        <w:ind w:firstLineChars="1750" w:firstLine="5600"/>
        <w:jc w:val="left"/>
        <w:rPr>
          <w:rFonts w:ascii="仿宋_GB2312" w:eastAsia="仿宋_GB2312" w:hAnsi="宋体" w:cs="宋体"/>
          <w:kern w:val="0"/>
          <w:sz w:val="32"/>
          <w:szCs w:val="32"/>
        </w:rPr>
      </w:pPr>
    </w:p>
    <w:p w:rsidR="00391926" w:rsidRDefault="00391926" w:rsidP="00391926">
      <w:pPr>
        <w:widowControl/>
        <w:spacing w:line="580" w:lineRule="exact"/>
        <w:ind w:firstLineChars="1750" w:firstLine="5600"/>
        <w:jc w:val="left"/>
        <w:rPr>
          <w:rFonts w:ascii="仿宋_GB2312" w:eastAsia="仿宋_GB2312" w:hAnsi="宋体" w:cs="宋体"/>
          <w:kern w:val="0"/>
          <w:sz w:val="32"/>
          <w:szCs w:val="32"/>
        </w:rPr>
      </w:pPr>
    </w:p>
    <w:p w:rsidR="00391926" w:rsidRDefault="00391926" w:rsidP="00391926">
      <w:pPr>
        <w:widowControl/>
        <w:spacing w:line="580" w:lineRule="exact"/>
        <w:ind w:firstLineChars="1750" w:firstLine="5600"/>
        <w:jc w:val="left"/>
        <w:rPr>
          <w:rFonts w:ascii="仿宋_GB2312" w:eastAsia="仿宋_GB2312" w:hAnsi="宋体" w:cs="宋体"/>
          <w:kern w:val="0"/>
          <w:sz w:val="32"/>
          <w:szCs w:val="32"/>
        </w:rPr>
      </w:pPr>
    </w:p>
    <w:p w:rsidR="00391926" w:rsidRPr="002B63D5" w:rsidRDefault="00391926" w:rsidP="00391926">
      <w:pPr>
        <w:widowControl/>
        <w:spacing w:line="560" w:lineRule="exact"/>
        <w:jc w:val="center"/>
        <w:rPr>
          <w:rFonts w:ascii="宋体" w:eastAsia="宋体" w:hAnsi="宋体" w:cs="宋体"/>
          <w:kern w:val="0"/>
          <w:sz w:val="24"/>
          <w:szCs w:val="24"/>
        </w:rPr>
      </w:pPr>
      <w:r w:rsidRPr="002B63D5">
        <w:rPr>
          <w:rFonts w:ascii="宋体" w:eastAsia="宋体" w:hAnsi="’Times New Roman’" w:cs="宋体" w:hint="eastAsia"/>
          <w:b/>
          <w:bCs/>
          <w:kern w:val="0"/>
          <w:sz w:val="44"/>
          <w:szCs w:val="44"/>
        </w:rPr>
        <w:lastRenderedPageBreak/>
        <w:t>山东理工大学</w:t>
      </w:r>
    </w:p>
    <w:p w:rsidR="00391926" w:rsidRPr="002B63D5" w:rsidRDefault="00391926" w:rsidP="00391926">
      <w:pPr>
        <w:widowControl/>
        <w:spacing w:line="560" w:lineRule="exact"/>
        <w:jc w:val="center"/>
        <w:rPr>
          <w:rFonts w:ascii="宋体" w:eastAsia="宋体" w:hAnsi="宋体" w:cs="宋体"/>
          <w:kern w:val="0"/>
          <w:sz w:val="24"/>
          <w:szCs w:val="24"/>
        </w:rPr>
      </w:pPr>
      <w:r w:rsidRPr="002B63D5">
        <w:rPr>
          <w:rFonts w:ascii="宋体" w:eastAsia="宋体" w:hAnsi="’Times New Roman’" w:cs="宋体" w:hint="eastAsia"/>
          <w:b/>
          <w:bCs/>
          <w:kern w:val="0"/>
          <w:sz w:val="44"/>
          <w:szCs w:val="44"/>
        </w:rPr>
        <w:t>青年教师讲课比赛组织与奖励办法</w:t>
      </w:r>
    </w:p>
    <w:p w:rsidR="00391926" w:rsidRPr="002B63D5" w:rsidRDefault="00391926" w:rsidP="00391926">
      <w:pPr>
        <w:widowControl/>
        <w:spacing w:line="560" w:lineRule="exact"/>
        <w:ind w:firstLineChars="200" w:firstLine="480"/>
        <w:jc w:val="left"/>
        <w:rPr>
          <w:rFonts w:ascii="宋体" w:eastAsia="宋体" w:hAnsi="宋体" w:cs="宋体"/>
          <w:kern w:val="0"/>
          <w:sz w:val="24"/>
          <w:szCs w:val="24"/>
        </w:rPr>
      </w:pPr>
      <w:r w:rsidRPr="002B63D5">
        <w:rPr>
          <w:rFonts w:ascii="宋体" w:eastAsia="宋体" w:hAnsi="宋体" w:cs="宋体" w:hint="eastAsia"/>
          <w:kern w:val="0"/>
          <w:sz w:val="24"/>
          <w:szCs w:val="24"/>
        </w:rPr>
        <w:t> </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为加强青年教师教学经验交流，促进青年教师教学能力提高、增强青年教师教学质量与教学效率意识、积极开展教育教学改革与教学研究，探索具有自身特点的课堂教学方法，进一步提高课堂教学质量，经学校研究决定每年举办一次青年教师讲课比赛活动。具体规定如下：</w:t>
      </w:r>
    </w:p>
    <w:p w:rsidR="00391926" w:rsidRPr="002B63D5" w:rsidRDefault="00391926" w:rsidP="00391926">
      <w:pPr>
        <w:widowControl/>
        <w:spacing w:line="560" w:lineRule="exact"/>
        <w:ind w:firstLineChars="200" w:firstLine="618"/>
        <w:jc w:val="left"/>
        <w:rPr>
          <w:rFonts w:ascii="宋体" w:eastAsia="宋体" w:hAnsi="宋体" w:cs="宋体"/>
          <w:kern w:val="0"/>
          <w:sz w:val="24"/>
          <w:szCs w:val="24"/>
        </w:rPr>
      </w:pPr>
      <w:r w:rsidRPr="002B63D5">
        <w:rPr>
          <w:rFonts w:ascii="仿宋_GB2312" w:eastAsia="仿宋_GB2312" w:hAnsi="宋体" w:cs="宋体" w:hint="eastAsia"/>
          <w:b/>
          <w:color w:val="000000"/>
          <w:spacing w:val="-6"/>
          <w:kern w:val="0"/>
          <w:sz w:val="32"/>
          <w:szCs w:val="32"/>
        </w:rPr>
        <w:t>一、参赛条件</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1.年龄在40岁（含40岁）以下的青年教师。</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2.具备一年以上工作经历且当前年度承担普通本专科课堂教学任务。</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3.参赛讲授课程与年度开设课程一致。</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4.凡获得过青年教师讲课比赛一等奖的教师，五年内不再参加该项比赛。</w:t>
      </w:r>
    </w:p>
    <w:p w:rsidR="00391926" w:rsidRPr="002B63D5" w:rsidRDefault="00391926" w:rsidP="00391926">
      <w:pPr>
        <w:widowControl/>
        <w:spacing w:line="560" w:lineRule="exact"/>
        <w:ind w:firstLineChars="200" w:firstLine="618"/>
        <w:jc w:val="left"/>
        <w:rPr>
          <w:rFonts w:ascii="宋体" w:eastAsia="宋体" w:hAnsi="宋体" w:cs="宋体"/>
          <w:kern w:val="0"/>
          <w:sz w:val="24"/>
          <w:szCs w:val="24"/>
        </w:rPr>
      </w:pPr>
      <w:r w:rsidRPr="002B63D5">
        <w:rPr>
          <w:rFonts w:ascii="仿宋_GB2312" w:eastAsia="仿宋_GB2312" w:hAnsi="宋体" w:cs="宋体" w:hint="eastAsia"/>
          <w:b/>
          <w:color w:val="000000"/>
          <w:spacing w:val="-6"/>
          <w:kern w:val="0"/>
          <w:sz w:val="32"/>
          <w:szCs w:val="32"/>
        </w:rPr>
        <w:t>二、比赛程序及竞赛办法</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青年教师课堂教学讲课比赛由教务处统一组织和协调。比赛分初赛、随机听课和决赛三个阶段进行，初赛阶段由学院组织，随机听课和决赛由教务处统一组织。</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（一）初赛</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1.学院成立初赛评审专家组，制订选拔办法，采取分散听课与集中比赛相结合的方式进行，优中选优。</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2.学院鼓励发动符合条件的教师参加报名，增加教师相互学习和提高的机会。</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lastRenderedPageBreak/>
        <w:t>3.经过综合评议，按学校要求推荐参加决赛的教师。学院需将参加决赛的教师名单和由教师本人填写的申报表交教务处教师发展中心。</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4.学院将初赛名单、专家组名单及初赛组织办法报教务处教师发展中心备案。</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5.教务处审核决赛名单后，进行公布。</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（二）随机听课</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1.教务处根据参赛教师的课程，公布课程表。</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2.组织督导、学院领导和参赛教师，分别对参赛教师听课、评比。</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3.决赛前，汇总每位教师的得分，对讲课效果差的教师进行淘汰。</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（三）决赛</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1.通知参赛教师准备20分钟的课程内容，进行比赛。课程内容与当前年度开设的课程内容一致。</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2.教务处组织专家进行评审，对参赛教师现场打分。</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3.教师需使用普通话授课，语言清晰、准确、精炼，鼓励对教学方式和教学方法进行改革，体现出自己的特色，合理运用先进教学手段。</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4.现场公布教师得分。</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（四）评分办法</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1.教师讲课比赛的最终成绩由专家组（含1名学生）打分（占60%）、督导听课成绩（20%）、院领导听课成绩（10%）</w:t>
      </w:r>
      <w:r w:rsidRPr="002B63D5">
        <w:rPr>
          <w:rFonts w:ascii="仿宋_GB2312" w:eastAsia="仿宋_GB2312" w:hAnsi="宋体" w:cs="宋体" w:hint="eastAsia"/>
          <w:color w:val="000000"/>
          <w:spacing w:val="-6"/>
          <w:kern w:val="0"/>
          <w:sz w:val="32"/>
          <w:szCs w:val="32"/>
        </w:rPr>
        <w:lastRenderedPageBreak/>
        <w:t>和参赛教师相互听课成绩（10%）四部分组成，得分由教师发展中心统计后公布。</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2.督导对学院参加决赛的教师随机听课三次以上，其中一次为三位督导共同听课评议，取不同的督导听课打分的平均分作为督导听课成绩。</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3.院领导（含院长、教学院长和教学科长）按学科大类交叉听课，对学院上报参加决赛的教师随机听课三人次以上，采取回避本学院的原则给参赛教师打分，取平均分作为院领导听课成绩。</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4.参赛教师之间也进行相互观摩听课并打分，采取回避本学院的原则给其他参赛教师打分，取平均分作为参赛教师相互听课成绩。</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5.决赛现场打分，采取去掉一个最高分、去掉一个最低分取平均分的方法进行综合评定。</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6.教务处按各项比例汇总教师得分，公布名次。</w:t>
      </w:r>
    </w:p>
    <w:p w:rsidR="00391926" w:rsidRPr="002B63D5" w:rsidRDefault="00391926" w:rsidP="00391926">
      <w:pPr>
        <w:widowControl/>
        <w:spacing w:line="560" w:lineRule="exact"/>
        <w:ind w:firstLineChars="200" w:firstLine="618"/>
        <w:jc w:val="left"/>
        <w:rPr>
          <w:rFonts w:ascii="宋体" w:eastAsia="宋体" w:hAnsi="宋体" w:cs="宋体"/>
          <w:kern w:val="0"/>
          <w:sz w:val="24"/>
          <w:szCs w:val="24"/>
        </w:rPr>
      </w:pPr>
      <w:r w:rsidRPr="002B63D5">
        <w:rPr>
          <w:rFonts w:ascii="仿宋_GB2312" w:eastAsia="仿宋_GB2312" w:hAnsi="宋体" w:cs="宋体" w:hint="eastAsia"/>
          <w:b/>
          <w:color w:val="000000"/>
          <w:spacing w:val="-6"/>
          <w:kern w:val="0"/>
          <w:sz w:val="32"/>
          <w:szCs w:val="32"/>
        </w:rPr>
        <w:t>三、荣誉与奖励</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1.比赛设一、二、三等奖和优秀奖，按学科大类分组，每组一等奖1名、二等奖2名、三等奖3名，其他教师为优秀奖，若出现名次并列，采取增加高奖项、减少低奖项名额的办法。学校将对获奖人员进行表彰，颁发获奖证书和奖金。</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2.获奖情况将记入教师教学档案。</w:t>
      </w:r>
    </w:p>
    <w:p w:rsidR="00391926" w:rsidRPr="002B63D5" w:rsidRDefault="00391926" w:rsidP="00391926">
      <w:pPr>
        <w:widowControl/>
        <w:spacing w:line="560" w:lineRule="exact"/>
        <w:ind w:firstLineChars="200" w:firstLine="618"/>
        <w:jc w:val="left"/>
        <w:rPr>
          <w:rFonts w:ascii="宋体" w:eastAsia="宋体" w:hAnsi="宋体" w:cs="宋体"/>
          <w:kern w:val="0"/>
          <w:sz w:val="24"/>
          <w:szCs w:val="24"/>
        </w:rPr>
      </w:pPr>
      <w:r w:rsidRPr="002B63D5">
        <w:rPr>
          <w:rFonts w:ascii="仿宋_GB2312" w:eastAsia="仿宋_GB2312" w:hAnsi="宋体" w:cs="宋体" w:hint="eastAsia"/>
          <w:b/>
          <w:color w:val="000000"/>
          <w:spacing w:val="-6"/>
          <w:kern w:val="0"/>
          <w:sz w:val="32"/>
          <w:szCs w:val="32"/>
        </w:rPr>
        <w:t>四、其他</w:t>
      </w:r>
    </w:p>
    <w:p w:rsidR="00391926" w:rsidRPr="002B63D5" w:rsidRDefault="00391926" w:rsidP="00391926">
      <w:pPr>
        <w:widowControl/>
        <w:spacing w:line="560" w:lineRule="exact"/>
        <w:ind w:firstLineChars="200" w:firstLine="616"/>
        <w:jc w:val="left"/>
        <w:rPr>
          <w:rFonts w:ascii="宋体" w:eastAsia="宋体" w:hAnsi="宋体" w:cs="宋体"/>
          <w:kern w:val="0"/>
          <w:sz w:val="24"/>
          <w:szCs w:val="24"/>
        </w:rPr>
      </w:pPr>
      <w:r w:rsidRPr="002B63D5">
        <w:rPr>
          <w:rFonts w:ascii="仿宋_GB2312" w:eastAsia="仿宋_GB2312" w:hAnsi="宋体" w:cs="宋体" w:hint="eastAsia"/>
          <w:color w:val="000000"/>
          <w:spacing w:val="-6"/>
          <w:kern w:val="0"/>
          <w:sz w:val="32"/>
          <w:szCs w:val="32"/>
        </w:rPr>
        <w:t>1.本办法由教务处负责解释。</w:t>
      </w:r>
    </w:p>
    <w:p w:rsidR="00391926" w:rsidRPr="002B63D5" w:rsidRDefault="00391926" w:rsidP="00391926">
      <w:pPr>
        <w:widowControl/>
        <w:spacing w:line="580" w:lineRule="exact"/>
        <w:ind w:firstLineChars="200" w:firstLine="616"/>
        <w:jc w:val="left"/>
        <w:rPr>
          <w:rFonts w:ascii="宋体" w:eastAsia="宋体" w:hAnsi="宋体" w:cs="宋体" w:hint="eastAsia"/>
          <w:kern w:val="0"/>
          <w:sz w:val="24"/>
          <w:szCs w:val="24"/>
        </w:rPr>
      </w:pPr>
      <w:bookmarkStart w:id="0" w:name="_GoBack"/>
      <w:bookmarkEnd w:id="0"/>
      <w:r w:rsidRPr="002B63D5">
        <w:rPr>
          <w:rFonts w:ascii="仿宋_GB2312" w:eastAsia="仿宋_GB2312" w:hAnsi="宋体" w:cs="宋体" w:hint="eastAsia"/>
          <w:color w:val="000000"/>
          <w:spacing w:val="-6"/>
          <w:kern w:val="0"/>
          <w:sz w:val="32"/>
          <w:szCs w:val="32"/>
        </w:rPr>
        <w:t>2.本办法自公布之日起施行。</w:t>
      </w:r>
    </w:p>
    <w:p w:rsidR="002B63D5" w:rsidRPr="002B63D5" w:rsidRDefault="00391926" w:rsidP="00391926">
      <w:pPr>
        <w:widowControl/>
        <w:spacing w:line="560" w:lineRule="exact"/>
        <w:jc w:val="left"/>
        <w:rPr>
          <w:rFonts w:ascii="Arial" w:eastAsia="宋体" w:hAnsi="Arial" w:cs="Arial"/>
          <w:vanish/>
          <w:kern w:val="0"/>
          <w:sz w:val="16"/>
          <w:szCs w:val="16"/>
        </w:rPr>
      </w:pPr>
      <w:r w:rsidRPr="002B63D5">
        <w:rPr>
          <w:rFonts w:ascii="Times New Roman" w:eastAsia="宋体" w:hAnsi="Times New Roman" w:cs="Times New Roman"/>
          <w:kern w:val="0"/>
          <w:sz w:val="24"/>
          <w:szCs w:val="24"/>
        </w:rPr>
        <w:t> </w:t>
      </w:r>
    </w:p>
    <w:p w:rsidR="006B7ECC" w:rsidRDefault="006B7ECC"/>
    <w:sectPr w:rsidR="006B7E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208" w:rsidRDefault="00A27208" w:rsidP="002B63D5">
      <w:r>
        <w:separator/>
      </w:r>
    </w:p>
  </w:endnote>
  <w:endnote w:type="continuationSeparator" w:id="0">
    <w:p w:rsidR="00A27208" w:rsidRDefault="00A27208" w:rsidP="002B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208" w:rsidRDefault="00A27208" w:rsidP="002B63D5">
      <w:r>
        <w:separator/>
      </w:r>
    </w:p>
  </w:footnote>
  <w:footnote w:type="continuationSeparator" w:id="0">
    <w:p w:rsidR="00A27208" w:rsidRDefault="00A27208" w:rsidP="002B6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63D5"/>
    <w:rsid w:val="002B63D5"/>
    <w:rsid w:val="00391926"/>
    <w:rsid w:val="006B7ECC"/>
    <w:rsid w:val="00A27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C72FD7-BB6A-4F08-ADBF-EC02B98B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Char"/>
    <w:uiPriority w:val="99"/>
    <w:semiHidden/>
    <w:unhideWhenUsed/>
    <w:rsid w:val="002B63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63D5"/>
    <w:rPr>
      <w:sz w:val="18"/>
      <w:szCs w:val="18"/>
    </w:rPr>
  </w:style>
  <w:style w:type="paragraph" w:styleId="a4">
    <w:name w:val="footer"/>
    <w:basedOn w:val="a"/>
    <w:link w:val="Char0"/>
    <w:uiPriority w:val="99"/>
    <w:semiHidden/>
    <w:unhideWhenUsed/>
    <w:rsid w:val="002B63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63D5"/>
    <w:rPr>
      <w:sz w:val="18"/>
      <w:szCs w:val="18"/>
    </w:rPr>
  </w:style>
  <w:style w:type="paragraph" w:styleId="z-">
    <w:name w:val="HTML Top of Form"/>
    <w:basedOn w:val="a"/>
    <w:next w:val="a"/>
    <w:link w:val="z-Char"/>
    <w:hidden/>
    <w:uiPriority w:val="99"/>
    <w:semiHidden/>
    <w:unhideWhenUsed/>
    <w:rsid w:val="002B63D5"/>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2B63D5"/>
    <w:rPr>
      <w:rFonts w:ascii="Arial" w:eastAsia="宋体" w:hAnsi="Arial" w:cs="Arial"/>
      <w:vanish/>
      <w:kern w:val="0"/>
      <w:sz w:val="16"/>
      <w:szCs w:val="16"/>
    </w:rPr>
  </w:style>
  <w:style w:type="paragraph" w:styleId="a5">
    <w:name w:val="Normal (Web)"/>
    <w:basedOn w:val="a"/>
    <w:uiPriority w:val="99"/>
    <w:semiHidden/>
    <w:unhideWhenUsed/>
    <w:rsid w:val="002B63D5"/>
    <w:pPr>
      <w:widowControl/>
      <w:spacing w:before="100" w:beforeAutospacing="1" w:after="100" w:afterAutospacing="1"/>
      <w:jc w:val="left"/>
    </w:pPr>
    <w:rPr>
      <w:rFonts w:ascii="宋体" w:eastAsia="宋体" w:hAnsi="宋体" w:cs="宋体"/>
      <w:kern w:val="0"/>
      <w:sz w:val="24"/>
      <w:szCs w:val="24"/>
    </w:rPr>
  </w:style>
  <w:style w:type="paragraph" w:styleId="z-0">
    <w:name w:val="HTML Bottom of Form"/>
    <w:basedOn w:val="a"/>
    <w:next w:val="a"/>
    <w:link w:val="z-Char0"/>
    <w:hidden/>
    <w:uiPriority w:val="99"/>
    <w:semiHidden/>
    <w:unhideWhenUsed/>
    <w:rsid w:val="002B63D5"/>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2B63D5"/>
    <w:rPr>
      <w:rFonts w:ascii="Arial" w:eastAsia="宋体" w:hAnsi="Arial" w:cs="Arial"/>
      <w:vanish/>
      <w:kern w:val="0"/>
      <w:sz w:val="16"/>
      <w:szCs w:val="16"/>
    </w:rPr>
  </w:style>
  <w:style w:type="paragraph" w:styleId="a6">
    <w:name w:val="Date"/>
    <w:basedOn w:val="a"/>
    <w:next w:val="a"/>
    <w:link w:val="Char1"/>
    <w:uiPriority w:val="99"/>
    <w:semiHidden/>
    <w:unhideWhenUsed/>
    <w:rsid w:val="00391926"/>
    <w:pPr>
      <w:ind w:leftChars="2500" w:left="100"/>
    </w:pPr>
  </w:style>
  <w:style w:type="character" w:customStyle="1" w:styleId="Char1">
    <w:name w:val="日期 Char"/>
    <w:basedOn w:val="a0"/>
    <w:link w:val="a6"/>
    <w:uiPriority w:val="99"/>
    <w:semiHidden/>
    <w:rsid w:val="00391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900294">
      <w:bodyDiv w:val="1"/>
      <w:marLeft w:val="0"/>
      <w:marRight w:val="0"/>
      <w:marTop w:val="0"/>
      <w:marBottom w:val="0"/>
      <w:divBdr>
        <w:top w:val="none" w:sz="0" w:space="0" w:color="auto"/>
        <w:left w:val="none" w:sz="0" w:space="0" w:color="auto"/>
        <w:bottom w:val="none" w:sz="0" w:space="0" w:color="auto"/>
        <w:right w:val="none" w:sz="0" w:space="0" w:color="auto"/>
      </w:divBdr>
      <w:divsChild>
        <w:div w:id="167018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252</Words>
  <Characters>1442</Characters>
  <Application>Microsoft Office Word</Application>
  <DocSecurity>0</DocSecurity>
  <Lines>12</Lines>
  <Paragraphs>3</Paragraphs>
  <ScaleCrop>false</ScaleCrop>
  <Company>微软中国</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4</cp:revision>
  <dcterms:created xsi:type="dcterms:W3CDTF">2015-04-09T03:00:00Z</dcterms:created>
  <dcterms:modified xsi:type="dcterms:W3CDTF">2016-12-07T09:02:00Z</dcterms:modified>
</cp:coreProperties>
</file>