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Fonts w:ascii="宋体" w:hAnsi="宋体" w:eastAsia="宋体"/>
          <w:b/>
          <w:color w:val="FF0000"/>
          <w:spacing w:val="28"/>
          <w:w w:val="80"/>
          <w:sz w:val="72"/>
          <w:szCs w:val="72"/>
        </w:rPr>
      </w:pPr>
      <w:r>
        <w:rPr>
          <w:rFonts w:hint="eastAsia" w:ascii="宋体" w:hAnsi="宋体" w:eastAsia="宋体"/>
          <w:b/>
          <w:color w:val="FF0000"/>
          <w:kern w:val="0"/>
          <w:sz w:val="72"/>
          <w:szCs w:val="72"/>
        </w:rPr>
        <w:t>山东理工大学机械工程院</w:t>
      </w:r>
    </w:p>
    <w:p>
      <w:pPr>
        <w:spacing w:line="560" w:lineRule="exact"/>
        <w:jc w:val="center"/>
        <w:rPr>
          <w:b/>
          <w:color w:val="FF0000"/>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297180</wp:posOffset>
                </wp:positionV>
                <wp:extent cx="5715000" cy="0"/>
                <wp:effectExtent l="0" t="28575" r="0" b="28575"/>
                <wp:wrapTopAndBottom/>
                <wp:docPr id="1" name="DocMarkLine"/>
                <wp:cNvGraphicFramePr/>
                <a:graphic xmlns:a="http://schemas.openxmlformats.org/drawingml/2006/main">
                  <a:graphicData uri="http://schemas.microsoft.com/office/word/2010/wordprocessingShape">
                    <wps:wsp>
                      <wps:cNvCnPr/>
                      <wps:spPr>
                        <a:xfrm>
                          <a:off x="0" y="0"/>
                          <a:ext cx="57150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DocMarkLine" o:spid="_x0000_s1026" o:spt="20" style="position:absolute;left:0pt;margin-left:-9pt;margin-top:23.4pt;height:0pt;width:450pt;mso-wrap-distance-bottom:0pt;mso-wrap-distance-top:0pt;z-index:251659264;mso-width-relative:page;mso-height-relative:page;" filled="f" stroked="t" coordsize="21600,21600" o:gfxdata="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GVISTUAAAACQEAAA8AAAAA&#10;AAAAAQAgAAAAIgAAAGRycy9kb3ducmV2LnhtbFBLAQIUABQAAAAIAIdO4kCwPYoK3wEAAOUDAAAO&#10;AAAAAAAAAAEAIAAAACMBAABkcnMvZTJvRG9jLnhtbFBLBQYAAAAABgAGAFkBAAB0BQAAAAA=&#10;">
                <v:fill on="f" focussize="0,0"/>
                <v:stroke weight="4.5pt" color="#FF0000" linestyle="thickThin" joinstyle="round"/>
                <v:imagedata o:title=""/>
                <o:lock v:ext="edit" aspectratio="f"/>
                <w10:wrap type="topAndBottom"/>
              </v:line>
            </w:pict>
          </mc:Fallback>
        </mc:AlternateContent>
      </w:r>
      <w:r>
        <w:rPr>
          <w:rFonts w:hint="eastAsia"/>
          <w:b/>
          <w:color w:val="FF0000"/>
          <w:sz w:val="21"/>
          <w:szCs w:val="21"/>
        </w:rPr>
        <w:t xml:space="preserve">        </w:t>
      </w:r>
    </w:p>
    <w:p>
      <w:pPr>
        <w:spacing w:line="560" w:lineRule="exact"/>
        <w:jc w:val="right"/>
        <w:rPr>
          <w:rFonts w:ascii="仿宋" w:hAnsi="仿宋" w:eastAsia="仿宋"/>
          <w:b/>
          <w:color w:val="FF0000"/>
          <w:sz w:val="84"/>
          <w:szCs w:val="84"/>
        </w:rPr>
      </w:pPr>
      <w:r>
        <w:rPr>
          <w:rFonts w:hint="eastAsia" w:ascii="仿宋" w:hAnsi="仿宋" w:eastAsia="仿宋"/>
          <w:szCs w:val="32"/>
        </w:rPr>
        <w:t>机械院字〔</w:t>
      </w:r>
      <w:r>
        <w:rPr>
          <w:rFonts w:ascii="仿宋" w:hAnsi="仿宋" w:eastAsia="仿宋"/>
          <w:szCs w:val="32"/>
        </w:rPr>
        <w:t>202</w:t>
      </w:r>
      <w:r>
        <w:rPr>
          <w:rFonts w:hint="eastAsia" w:ascii="仿宋" w:hAnsi="仿宋" w:eastAsia="仿宋"/>
          <w:szCs w:val="32"/>
          <w:lang w:val="en-US" w:eastAsia="zh-CN"/>
        </w:rPr>
        <w:t>2</w:t>
      </w:r>
      <w:r>
        <w:rPr>
          <w:rFonts w:hint="eastAsia" w:ascii="仿宋" w:hAnsi="仿宋" w:eastAsia="仿宋"/>
          <w:szCs w:val="32"/>
        </w:rPr>
        <w:t>〕</w:t>
      </w:r>
      <w:r>
        <w:rPr>
          <w:rFonts w:hint="eastAsia" w:ascii="仿宋" w:hAnsi="仿宋" w:eastAsia="仿宋"/>
          <w:szCs w:val="32"/>
          <w:lang w:val="en-US" w:eastAsia="zh-CN"/>
        </w:rPr>
        <w:t>1</w:t>
      </w:r>
      <w:r>
        <w:rPr>
          <w:rFonts w:hint="eastAsia" w:ascii="仿宋" w:hAnsi="仿宋" w:eastAsia="仿宋"/>
          <w:szCs w:val="32"/>
        </w:rPr>
        <w:t>号</w:t>
      </w:r>
    </w:p>
    <w:p>
      <w:pPr>
        <w:jc w:val="left"/>
        <w:rPr>
          <w:rFonts w:ascii="宋体" w:hAnsi="宋体" w:eastAsia="宋体"/>
          <w:b/>
          <w:sz w:val="44"/>
          <w:szCs w:val="44"/>
        </w:rPr>
      </w:pPr>
    </w:p>
    <w:p>
      <w:pPr>
        <w:spacing w:line="560" w:lineRule="exact"/>
        <w:jc w:val="center"/>
        <w:rPr>
          <w:rFonts w:hint="eastAsia" w:asciiTheme="majorEastAsia" w:hAnsiTheme="majorEastAsia" w:eastAsiaTheme="majorEastAsia" w:cstheme="majorEastAsia"/>
          <w:b w:val="0"/>
          <w:bCs w:val="0"/>
          <w:sz w:val="44"/>
          <w:szCs w:val="44"/>
        </w:rPr>
      </w:pPr>
      <w:bookmarkStart w:id="0" w:name="_GoBack"/>
      <w:r>
        <w:rPr>
          <w:rFonts w:hint="eastAsia" w:asciiTheme="majorEastAsia" w:hAnsiTheme="majorEastAsia" w:eastAsiaTheme="majorEastAsia" w:cstheme="majorEastAsia"/>
          <w:b w:val="0"/>
          <w:bCs w:val="0"/>
          <w:sz w:val="44"/>
          <w:szCs w:val="44"/>
        </w:rPr>
        <w:t>关于印发《2022年机械工程学院</w:t>
      </w:r>
    </w:p>
    <w:p>
      <w:pPr>
        <w:spacing w:line="560" w:lineRule="exact"/>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硕士研究生招生指标限额规定》的通知</w:t>
      </w:r>
    </w:p>
    <w:bookmarkEnd w:id="0"/>
    <w:p>
      <w:pPr>
        <w:spacing w:line="640" w:lineRule="exact"/>
        <w:rPr>
          <w:rFonts w:hint="eastAsia" w:asciiTheme="majorEastAsia" w:hAnsiTheme="majorEastAsia" w:eastAsiaTheme="majorEastAsia" w:cstheme="majorEastAsia"/>
          <w:b w:val="0"/>
          <w:bCs w:val="0"/>
          <w:sz w:val="44"/>
          <w:szCs w:val="44"/>
        </w:rPr>
      </w:pPr>
    </w:p>
    <w:p>
      <w:pPr>
        <w:spacing w:line="640" w:lineRule="exact"/>
        <w:ind w:firstLine="640" w:firstLineChars="200"/>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color w:val="auto"/>
          <w:sz w:val="32"/>
          <w:szCs w:val="32"/>
        </w:rPr>
        <w:t>各</w:t>
      </w:r>
      <w:r>
        <w:rPr>
          <w:rFonts w:hint="eastAsia" w:ascii="仿宋_GB2312" w:hAnsi="方正小标宋简体" w:cs="方正小标宋简体"/>
          <w:color w:val="auto"/>
          <w:sz w:val="32"/>
          <w:szCs w:val="32"/>
          <w:lang w:val="en-US" w:eastAsia="zh-CN"/>
        </w:rPr>
        <w:t>系（</w:t>
      </w:r>
      <w:r>
        <w:rPr>
          <w:rFonts w:hint="eastAsia" w:ascii="仿宋_GB2312" w:hAnsi="方正小标宋简体" w:eastAsia="仿宋_GB2312" w:cs="方正小标宋简体"/>
          <w:color w:val="auto"/>
          <w:sz w:val="32"/>
          <w:szCs w:val="32"/>
        </w:rPr>
        <w:t>中心</w:t>
      </w:r>
      <w:r>
        <w:rPr>
          <w:rFonts w:hint="eastAsia" w:ascii="仿宋_GB2312" w:hAnsi="方正小标宋简体" w:cs="方正小标宋简体"/>
          <w:color w:val="auto"/>
          <w:sz w:val="32"/>
          <w:szCs w:val="32"/>
          <w:lang w:eastAsia="zh-CN"/>
        </w:rPr>
        <w:t>）</w:t>
      </w:r>
      <w:r>
        <w:rPr>
          <w:rFonts w:hint="eastAsia" w:ascii="仿宋_GB2312" w:hAnsi="方正小标宋简体" w:cs="方正小标宋简体"/>
          <w:sz w:val="32"/>
          <w:szCs w:val="32"/>
          <w:lang w:eastAsia="zh-CN"/>
        </w:rPr>
        <w:t>、</w:t>
      </w:r>
      <w:r>
        <w:rPr>
          <w:rFonts w:hint="eastAsia" w:ascii="仿宋_GB2312" w:hAnsi="方正小标宋简体" w:cs="方正小标宋简体"/>
          <w:sz w:val="32"/>
          <w:szCs w:val="32"/>
          <w:lang w:val="en-US" w:eastAsia="zh-CN"/>
        </w:rPr>
        <w:t>科室</w:t>
      </w:r>
      <w:r>
        <w:rPr>
          <w:rFonts w:hint="eastAsia" w:ascii="仿宋_GB2312" w:hAnsi="方正小标宋简体" w:eastAsia="仿宋_GB2312" w:cs="方正小标宋简体"/>
          <w:sz w:val="32"/>
          <w:szCs w:val="32"/>
        </w:rPr>
        <w:t>：</w:t>
      </w:r>
    </w:p>
    <w:p>
      <w:pPr>
        <w:spacing w:line="640" w:lineRule="exact"/>
        <w:ind w:firstLine="640" w:firstLineChars="200"/>
        <w:rPr>
          <w:rFonts w:hint="eastAsia" w:ascii="仿宋_GB2312" w:hAnsi="方正小标宋简体" w:eastAsia="仿宋_GB2312" w:cs="方正小标宋简体"/>
          <w:color w:val="auto"/>
          <w:sz w:val="32"/>
          <w:szCs w:val="32"/>
        </w:rPr>
      </w:pPr>
      <w:r>
        <w:rPr>
          <w:rFonts w:hint="eastAsia" w:ascii="仿宋_GB2312" w:hAnsi="方正小标宋简体" w:eastAsia="仿宋_GB2312" w:cs="方正小标宋简体"/>
          <w:color w:val="auto"/>
          <w:sz w:val="32"/>
          <w:szCs w:val="32"/>
        </w:rPr>
        <w:t>《2022年机械工程学院硕士研究生招生指标限额规定》业经研究同意，现予以印发，请认真贯彻执行。</w:t>
      </w:r>
    </w:p>
    <w:p>
      <w:pPr>
        <w:spacing w:line="640" w:lineRule="exact"/>
        <w:rPr>
          <w:rFonts w:hint="eastAsia" w:ascii="仿宋_GB2312" w:hAnsi="方正小标宋简体" w:eastAsia="仿宋_GB2312" w:cs="方正小标宋简体"/>
          <w:color w:val="auto"/>
          <w:sz w:val="32"/>
          <w:szCs w:val="32"/>
        </w:rPr>
      </w:pPr>
    </w:p>
    <w:p>
      <w:pPr>
        <w:spacing w:line="640" w:lineRule="exact"/>
        <w:ind w:firstLine="640" w:firstLineChars="200"/>
        <w:rPr>
          <w:rFonts w:ascii="仿宋_GB2312" w:hAnsi="方正小标宋简体" w:eastAsia="仿宋_GB2312" w:cs="方正小标宋简体"/>
          <w:sz w:val="32"/>
          <w:szCs w:val="32"/>
        </w:rPr>
      </w:pPr>
    </w:p>
    <w:p>
      <w:pPr>
        <w:spacing w:line="640" w:lineRule="exact"/>
        <w:ind w:firstLine="5760" w:firstLineChars="18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机械工程学院</w:t>
      </w:r>
    </w:p>
    <w:p>
      <w:pPr>
        <w:spacing w:line="640" w:lineRule="exact"/>
        <w:ind w:firstLine="5600" w:firstLineChars="175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2</w:t>
      </w:r>
      <w:r>
        <w:rPr>
          <w:rFonts w:ascii="仿宋_GB2312" w:hAnsi="方正小标宋简体" w:eastAsia="仿宋_GB2312" w:cs="方正小标宋简体"/>
          <w:sz w:val="32"/>
          <w:szCs w:val="32"/>
        </w:rPr>
        <w:t>02</w:t>
      </w:r>
      <w:r>
        <w:rPr>
          <w:rFonts w:hint="eastAsia" w:ascii="仿宋_GB2312" w:hAnsi="方正小标宋简体" w:cs="方正小标宋简体"/>
          <w:sz w:val="32"/>
          <w:szCs w:val="32"/>
          <w:lang w:val="en-US" w:eastAsia="zh-CN"/>
        </w:rPr>
        <w:t>2</w:t>
      </w:r>
      <w:r>
        <w:rPr>
          <w:rFonts w:hint="eastAsia" w:ascii="仿宋_GB2312" w:hAnsi="方正小标宋简体" w:eastAsia="仿宋_GB2312" w:cs="方正小标宋简体"/>
          <w:sz w:val="32"/>
          <w:szCs w:val="32"/>
        </w:rPr>
        <w:t>年</w:t>
      </w:r>
      <w:r>
        <w:rPr>
          <w:rFonts w:hint="eastAsia" w:ascii="仿宋_GB2312" w:hAnsi="方正小标宋简体" w:cs="方正小标宋简体"/>
          <w:sz w:val="32"/>
          <w:szCs w:val="32"/>
          <w:lang w:val="en-US" w:eastAsia="zh-CN"/>
        </w:rPr>
        <w:t>7</w:t>
      </w:r>
      <w:r>
        <w:rPr>
          <w:rFonts w:hint="eastAsia" w:ascii="仿宋_GB2312" w:hAnsi="方正小标宋简体" w:eastAsia="仿宋_GB2312" w:cs="方正小标宋简体"/>
          <w:sz w:val="32"/>
          <w:szCs w:val="32"/>
        </w:rPr>
        <w:t>月</w:t>
      </w:r>
      <w:r>
        <w:rPr>
          <w:rFonts w:ascii="仿宋_GB2312" w:hAnsi="方正小标宋简体" w:eastAsia="仿宋_GB2312" w:cs="方正小标宋简体"/>
          <w:sz w:val="32"/>
          <w:szCs w:val="32"/>
        </w:rPr>
        <w:t>1</w:t>
      </w:r>
      <w:r>
        <w:rPr>
          <w:rFonts w:hint="eastAsia" w:ascii="仿宋_GB2312" w:hAnsi="方正小标宋简体" w:eastAsia="仿宋_GB2312" w:cs="方正小标宋简体"/>
          <w:sz w:val="32"/>
          <w:szCs w:val="32"/>
        </w:rPr>
        <w:t>日</w:t>
      </w: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560" w:lineRule="exact"/>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2022年机械工程学院硕士研究生招生指标限额规定</w:t>
      </w:r>
    </w:p>
    <w:p>
      <w:pPr>
        <w:spacing w:line="440" w:lineRule="exact"/>
        <w:ind w:firstLine="643" w:firstLineChars="200"/>
        <w:rPr>
          <w:rFonts w:hint="eastAsia" w:ascii="仿宋" w:hAnsi="仿宋" w:eastAsia="仿宋" w:cs="仿宋"/>
          <w:b/>
          <w:sz w:val="32"/>
          <w:szCs w:val="32"/>
        </w:rPr>
      </w:pPr>
    </w:p>
    <w:p>
      <w:pPr>
        <w:ind w:firstLine="560" w:firstLineChars="200"/>
        <w:rPr>
          <w:rFonts w:ascii="仿宋" w:hAnsi="仿宋" w:eastAsia="仿宋" w:cs="仿宋"/>
          <w:b w:val="0"/>
          <w:bCs/>
          <w:sz w:val="28"/>
          <w:szCs w:val="28"/>
        </w:rPr>
      </w:pPr>
      <w:r>
        <w:rPr>
          <w:rFonts w:hint="eastAsia" w:ascii="仿宋" w:hAnsi="仿宋" w:eastAsia="仿宋" w:cs="仿宋"/>
          <w:b w:val="0"/>
          <w:bCs/>
          <w:sz w:val="28"/>
          <w:szCs w:val="28"/>
        </w:rPr>
        <w:t>一、具有该年度招生资格的学院硕士研究生指导教师，全日制硕士研究生基本指标数为</w:t>
      </w:r>
      <w:r>
        <w:rPr>
          <w:rFonts w:ascii="仿宋" w:hAnsi="仿宋" w:eastAsia="仿宋" w:cs="仿宋"/>
          <w:b w:val="0"/>
          <w:bCs/>
          <w:sz w:val="28"/>
          <w:szCs w:val="28"/>
        </w:rPr>
        <w:t>2</w:t>
      </w:r>
      <w:r>
        <w:rPr>
          <w:rFonts w:hint="eastAsia" w:ascii="仿宋" w:hAnsi="仿宋" w:eastAsia="仿宋" w:cs="仿宋"/>
          <w:b w:val="0"/>
          <w:bCs/>
          <w:sz w:val="28"/>
          <w:szCs w:val="28"/>
        </w:rPr>
        <w:t>个。</w:t>
      </w:r>
    </w:p>
    <w:p>
      <w:pPr>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二、符合下列条件之一，增加1个全日制硕士研究生招生指标：</w:t>
      </w:r>
    </w:p>
    <w:p>
      <w:pPr>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现主持山东省自然科学基金面上项目以上或同级别课题，或在研横向项目经费50万元以上（不含</w:t>
      </w:r>
      <w:r>
        <w:rPr>
          <w:rFonts w:ascii="仿宋" w:hAnsi="仿宋" w:eastAsia="仿宋" w:cs="仿宋"/>
          <w:sz w:val="28"/>
          <w:szCs w:val="28"/>
        </w:rPr>
        <w:t>大进大出经费</w:t>
      </w:r>
      <w:r>
        <w:rPr>
          <w:rFonts w:hint="eastAsia" w:ascii="仿宋" w:hAnsi="仿宋" w:eastAsia="仿宋" w:cs="仿宋"/>
          <w:sz w:val="28"/>
          <w:szCs w:val="28"/>
        </w:rPr>
        <w:t>）；</w:t>
      </w:r>
    </w:p>
    <w:p>
      <w:pPr>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近3年获得山东省优秀研究生指导教师，或指导的研究生获得山东省优秀博士/硕士学位论文，或获山东省研究生优秀创新成果奖指导教师；</w:t>
      </w:r>
    </w:p>
    <w:p>
      <w:pPr>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上一年度，指导研究生获得研究生国家奖学金；</w:t>
      </w:r>
    </w:p>
    <w:p>
      <w:pPr>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三、符合下列条件之一，增加2个全日制硕士研究生招生指标：</w:t>
      </w:r>
    </w:p>
    <w:p>
      <w:pPr>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山东省泰山学者系列，山东省泰山产业领军人才（科技创新类），国家级人才；</w:t>
      </w:r>
    </w:p>
    <w:p>
      <w:pPr>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现主持国家自然科学基金</w:t>
      </w:r>
      <w:r>
        <w:rPr>
          <w:rFonts w:ascii="仿宋" w:hAnsi="仿宋" w:eastAsia="仿宋" w:cs="仿宋"/>
          <w:sz w:val="28"/>
          <w:szCs w:val="28"/>
        </w:rPr>
        <w:t>面上项目</w:t>
      </w:r>
      <w:r>
        <w:rPr>
          <w:rFonts w:hint="eastAsia" w:ascii="仿宋" w:hAnsi="仿宋" w:eastAsia="仿宋" w:cs="仿宋"/>
          <w:sz w:val="28"/>
          <w:szCs w:val="28"/>
        </w:rPr>
        <w:t>、重点项目或同级别课题；</w:t>
      </w:r>
    </w:p>
    <w:p>
      <w:pPr>
        <w:ind w:firstLine="840" w:firstLineChars="300"/>
        <w:rPr>
          <w:rFonts w:hint="eastAsia" w:ascii="仿宋" w:hAnsi="仿宋" w:eastAsia="仿宋" w:cs="仿宋"/>
          <w:color w:val="FF0000"/>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上一年度，获得国家级教学科研成果奖额定人员；或前两位获政府奖省部级教学科研成果一等奖；或首位获政府奖省部级教学科研成果二等奖；</w:t>
      </w:r>
    </w:p>
    <w:p>
      <w:pPr>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四、有关减少或者取消招生资格的说明：</w:t>
      </w:r>
    </w:p>
    <w:p>
      <w:pPr>
        <w:ind w:firstLine="840" w:firstLineChars="3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指导研究生学位论文（含非全日制）外审不通过者减少1个招生指标；</w:t>
      </w:r>
    </w:p>
    <w:p>
      <w:pPr>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按学校规定超龄申请招生资格并获批的指导教师，减少1个招生指标。</w:t>
      </w:r>
    </w:p>
    <w:p>
      <w:pPr>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指导研究生学位论文教育部抽检不合格者取消2年的招生资格；</w:t>
      </w:r>
    </w:p>
    <w:p>
      <w:pPr>
        <w:ind w:firstLine="560" w:firstLineChars="200"/>
        <w:rPr>
          <w:rFonts w:ascii="仿宋" w:hAnsi="仿宋" w:eastAsia="仿宋" w:cs="仿宋"/>
          <w:b w:val="0"/>
          <w:bCs/>
          <w:sz w:val="28"/>
          <w:szCs w:val="28"/>
        </w:rPr>
      </w:pPr>
      <w:r>
        <w:rPr>
          <w:rFonts w:hint="eastAsia" w:ascii="仿宋" w:hAnsi="仿宋" w:eastAsia="仿宋" w:cs="仿宋"/>
          <w:b w:val="0"/>
          <w:bCs/>
          <w:sz w:val="28"/>
          <w:szCs w:val="28"/>
        </w:rPr>
        <w:t>五、非全日制研究生不占基本指标数。符合上述条件（二）（三）并增加招生指标的指导老师，原则上本年度需承担1名非全日制硕士研究生或同等学力申请学位研究生的培养工作。</w:t>
      </w:r>
    </w:p>
    <w:p>
      <w:pPr>
        <w:ind w:firstLine="560" w:firstLineChars="200"/>
        <w:rPr>
          <w:rFonts w:hint="eastAsia" w:ascii="仿宋" w:hAnsi="仿宋" w:eastAsia="仿宋" w:cs="仿宋"/>
          <w:b w:val="0"/>
          <w:bCs/>
          <w:sz w:val="28"/>
          <w:szCs w:val="28"/>
        </w:rPr>
      </w:pPr>
      <w:r>
        <w:rPr>
          <w:rFonts w:ascii="仿宋" w:hAnsi="仿宋" w:eastAsia="仿宋" w:cs="仿宋"/>
          <w:b w:val="0"/>
          <w:bCs/>
          <w:sz w:val="28"/>
          <w:szCs w:val="28"/>
        </w:rPr>
        <w:t>六</w:t>
      </w:r>
      <w:r>
        <w:rPr>
          <w:rFonts w:hint="eastAsia" w:ascii="仿宋" w:hAnsi="仿宋" w:eastAsia="仿宋" w:cs="仿宋"/>
          <w:b w:val="0"/>
          <w:bCs/>
          <w:sz w:val="28"/>
          <w:szCs w:val="28"/>
        </w:rPr>
        <w:t>、其他学科/领域参与机械工程学科聚焦并获得招生资格的研究生指导老师，在机械工程学科的基本指标数为1个，符合上述条件（三）可增加1个名额，指导老师的成果用于机械工程学科。</w:t>
      </w:r>
    </w:p>
    <w:p>
      <w:pPr>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七、本年度生源充足的</w:t>
      </w:r>
      <w:r>
        <w:rPr>
          <w:rFonts w:ascii="仿宋" w:hAnsi="仿宋" w:eastAsia="仿宋" w:cs="仿宋"/>
          <w:b w:val="0"/>
          <w:bCs/>
          <w:sz w:val="28"/>
          <w:szCs w:val="28"/>
        </w:rPr>
        <w:t>学位点</w:t>
      </w:r>
      <w:r>
        <w:rPr>
          <w:rFonts w:hint="eastAsia" w:ascii="仿宋" w:hAnsi="仿宋" w:eastAsia="仿宋" w:cs="仿宋"/>
          <w:b w:val="0"/>
          <w:bCs/>
          <w:sz w:val="28"/>
          <w:szCs w:val="28"/>
        </w:rPr>
        <w:t>，分配指标可适当放宽，增加的指标</w:t>
      </w:r>
      <w:r>
        <w:rPr>
          <w:rFonts w:ascii="仿宋" w:hAnsi="仿宋" w:eastAsia="仿宋" w:cs="仿宋"/>
          <w:b w:val="0"/>
          <w:bCs/>
          <w:sz w:val="28"/>
          <w:szCs w:val="28"/>
        </w:rPr>
        <w:t>优先用于科研团队</w:t>
      </w:r>
      <w:r>
        <w:rPr>
          <w:rFonts w:hint="eastAsia" w:ascii="仿宋" w:hAnsi="仿宋" w:eastAsia="仿宋" w:cs="仿宋"/>
          <w:b w:val="0"/>
          <w:bCs/>
          <w:sz w:val="28"/>
          <w:szCs w:val="28"/>
        </w:rPr>
        <w:t>。</w:t>
      </w:r>
    </w:p>
    <w:p>
      <w:pPr>
        <w:ind w:firstLine="560" w:firstLineChars="200"/>
        <w:rPr>
          <w:rFonts w:ascii="仿宋" w:hAnsi="仿宋" w:eastAsia="仿宋" w:cs="仿宋"/>
          <w:b w:val="0"/>
          <w:bCs/>
          <w:sz w:val="28"/>
          <w:szCs w:val="28"/>
        </w:rPr>
      </w:pPr>
      <w:r>
        <w:rPr>
          <w:rFonts w:hint="eastAsia" w:ascii="仿宋" w:hAnsi="仿宋" w:eastAsia="仿宋" w:cs="仿宋"/>
          <w:b w:val="0"/>
          <w:bCs/>
          <w:sz w:val="28"/>
          <w:szCs w:val="28"/>
        </w:rPr>
        <w:t>八、本规定由学院党政联席会议负责解释。</w:t>
      </w:r>
    </w:p>
    <w:p>
      <w:pPr>
        <w:ind w:firstLine="560" w:firstLineChars="200"/>
        <w:rPr>
          <w:rFonts w:hint="eastAsia" w:ascii="仿宋" w:hAnsi="仿宋" w:eastAsia="仿宋" w:cs="仿宋"/>
          <w:sz w:val="28"/>
          <w:szCs w:val="28"/>
        </w:rPr>
      </w:pPr>
      <w:r>
        <w:rPr>
          <w:rFonts w:hint="eastAsia" w:ascii="仿宋" w:hAnsi="仿宋" w:eastAsia="仿宋" w:cs="仿宋"/>
          <w:b w:val="0"/>
          <w:bCs/>
          <w:sz w:val="28"/>
          <w:szCs w:val="28"/>
        </w:rPr>
        <w:t>说明：</w:t>
      </w:r>
      <w:r>
        <w:rPr>
          <w:rFonts w:hint="eastAsia" w:ascii="仿宋" w:hAnsi="仿宋" w:eastAsia="仿宋" w:cs="仿宋"/>
          <w:sz w:val="28"/>
          <w:szCs w:val="28"/>
        </w:rPr>
        <w:t>以上所有规定仅限于学校审核通过具有该年度招生资格的校内硕士生指导教师。</w:t>
      </w:r>
    </w:p>
    <w:p>
      <w:pPr>
        <w:jc w:val="right"/>
        <w:rPr>
          <w:rFonts w:ascii="仿宋" w:hAnsi="仿宋" w:eastAsia="仿宋" w:cs="仿宋"/>
          <w:sz w:val="28"/>
          <w:szCs w:val="28"/>
        </w:rPr>
      </w:pPr>
    </w:p>
    <w:p>
      <w:pPr>
        <w:jc w:val="center"/>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ascii="仿宋" w:hAnsi="仿宋" w:eastAsia="仿宋" w:cs="仿宋"/>
          <w:sz w:val="28"/>
          <w:szCs w:val="28"/>
        </w:rPr>
        <w:t>2</w:t>
      </w:r>
      <w:r>
        <w:rPr>
          <w:rFonts w:hint="eastAsia" w:ascii="仿宋" w:hAnsi="仿宋" w:eastAsia="仿宋" w:cs="仿宋"/>
          <w:sz w:val="28"/>
          <w:szCs w:val="28"/>
        </w:rPr>
        <w:t>年</w:t>
      </w:r>
      <w:r>
        <w:rPr>
          <w:rFonts w:ascii="仿宋" w:hAnsi="仿宋" w:eastAsia="仿宋" w:cs="仿宋"/>
          <w:sz w:val="28"/>
          <w:szCs w:val="28"/>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pPr>
        <w:spacing w:line="640" w:lineRule="exact"/>
        <w:jc w:val="center"/>
        <w:rPr>
          <w:rFonts w:ascii="方正小标宋简体" w:hAnsi="方正小标宋简体" w:eastAsia="方正小标宋简体" w:cs="方正小标宋简体"/>
          <w:sz w:val="44"/>
          <w:szCs w:val="44"/>
        </w:rPr>
      </w:pPr>
    </w:p>
    <w:p>
      <w:pPr>
        <w:rPr>
          <w:rFonts w:hint="eastAsia"/>
        </w:rPr>
      </w:pPr>
    </w:p>
    <w:sectPr>
      <w:headerReference r:id="rId3" w:type="default"/>
      <w:pgSz w:w="11906" w:h="16838"/>
      <w:pgMar w:top="1304" w:right="1474" w:bottom="1304" w:left="147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TkwNDA3N2NkZjUzNGY4ZjkyYzZlMDQzMTBmYjAifQ=="/>
  </w:docVars>
  <w:rsids>
    <w:rsidRoot w:val="00172A27"/>
    <w:rsid w:val="00012C77"/>
    <w:rsid w:val="00050278"/>
    <w:rsid w:val="000553F0"/>
    <w:rsid w:val="000905EC"/>
    <w:rsid w:val="000A43E3"/>
    <w:rsid w:val="000A6009"/>
    <w:rsid w:val="000A7DC6"/>
    <w:rsid w:val="000C5B63"/>
    <w:rsid w:val="000C71CC"/>
    <w:rsid w:val="000F2BB3"/>
    <w:rsid w:val="001107EB"/>
    <w:rsid w:val="00115493"/>
    <w:rsid w:val="0011644D"/>
    <w:rsid w:val="001255F7"/>
    <w:rsid w:val="00137F12"/>
    <w:rsid w:val="001457D6"/>
    <w:rsid w:val="001826DD"/>
    <w:rsid w:val="0018721E"/>
    <w:rsid w:val="00192153"/>
    <w:rsid w:val="00195218"/>
    <w:rsid w:val="00197822"/>
    <w:rsid w:val="001B3E17"/>
    <w:rsid w:val="0020372E"/>
    <w:rsid w:val="00226727"/>
    <w:rsid w:val="00245C25"/>
    <w:rsid w:val="002773B3"/>
    <w:rsid w:val="00282785"/>
    <w:rsid w:val="00294BD8"/>
    <w:rsid w:val="002C255A"/>
    <w:rsid w:val="002C4F38"/>
    <w:rsid w:val="00300630"/>
    <w:rsid w:val="003217F8"/>
    <w:rsid w:val="00332152"/>
    <w:rsid w:val="00334464"/>
    <w:rsid w:val="0035032C"/>
    <w:rsid w:val="00354EB2"/>
    <w:rsid w:val="00356631"/>
    <w:rsid w:val="003A4EE2"/>
    <w:rsid w:val="003C1F44"/>
    <w:rsid w:val="003D6ACF"/>
    <w:rsid w:val="003E159C"/>
    <w:rsid w:val="003F2765"/>
    <w:rsid w:val="004073B6"/>
    <w:rsid w:val="0042608B"/>
    <w:rsid w:val="0044741A"/>
    <w:rsid w:val="00460263"/>
    <w:rsid w:val="0046444B"/>
    <w:rsid w:val="0046745B"/>
    <w:rsid w:val="004748FF"/>
    <w:rsid w:val="00475E06"/>
    <w:rsid w:val="004C18AA"/>
    <w:rsid w:val="004E60D1"/>
    <w:rsid w:val="0050177E"/>
    <w:rsid w:val="005033E5"/>
    <w:rsid w:val="00550ABA"/>
    <w:rsid w:val="00563BB1"/>
    <w:rsid w:val="005743A6"/>
    <w:rsid w:val="00583993"/>
    <w:rsid w:val="005C5590"/>
    <w:rsid w:val="005D6CE0"/>
    <w:rsid w:val="005E230C"/>
    <w:rsid w:val="005F7334"/>
    <w:rsid w:val="00600787"/>
    <w:rsid w:val="00617599"/>
    <w:rsid w:val="00630ED1"/>
    <w:rsid w:val="00654A83"/>
    <w:rsid w:val="00663E19"/>
    <w:rsid w:val="00666B8F"/>
    <w:rsid w:val="00670169"/>
    <w:rsid w:val="006E6D7A"/>
    <w:rsid w:val="00722A20"/>
    <w:rsid w:val="00772FF0"/>
    <w:rsid w:val="007B468C"/>
    <w:rsid w:val="007C41D1"/>
    <w:rsid w:val="007C6E67"/>
    <w:rsid w:val="007D5FFA"/>
    <w:rsid w:val="007E0155"/>
    <w:rsid w:val="0081138E"/>
    <w:rsid w:val="00815D7B"/>
    <w:rsid w:val="008F0A48"/>
    <w:rsid w:val="009058E1"/>
    <w:rsid w:val="0091297B"/>
    <w:rsid w:val="00916F96"/>
    <w:rsid w:val="009C0BF2"/>
    <w:rsid w:val="009D54B4"/>
    <w:rsid w:val="009F7C38"/>
    <w:rsid w:val="00A0371D"/>
    <w:rsid w:val="00A2722A"/>
    <w:rsid w:val="00A3084D"/>
    <w:rsid w:val="00A377A6"/>
    <w:rsid w:val="00A4133C"/>
    <w:rsid w:val="00A87B05"/>
    <w:rsid w:val="00AC228E"/>
    <w:rsid w:val="00AF7066"/>
    <w:rsid w:val="00B0064B"/>
    <w:rsid w:val="00B00962"/>
    <w:rsid w:val="00B151DD"/>
    <w:rsid w:val="00B24345"/>
    <w:rsid w:val="00B57465"/>
    <w:rsid w:val="00B60941"/>
    <w:rsid w:val="00B82005"/>
    <w:rsid w:val="00BA01A3"/>
    <w:rsid w:val="00BA6F4C"/>
    <w:rsid w:val="00BE4B80"/>
    <w:rsid w:val="00BE6F04"/>
    <w:rsid w:val="00BE7B12"/>
    <w:rsid w:val="00C026C2"/>
    <w:rsid w:val="00C13FDA"/>
    <w:rsid w:val="00C16693"/>
    <w:rsid w:val="00C202FF"/>
    <w:rsid w:val="00C30AF5"/>
    <w:rsid w:val="00C349F6"/>
    <w:rsid w:val="00C815EC"/>
    <w:rsid w:val="00CB3159"/>
    <w:rsid w:val="00CD208E"/>
    <w:rsid w:val="00CD5B11"/>
    <w:rsid w:val="00D31A27"/>
    <w:rsid w:val="00D800C3"/>
    <w:rsid w:val="00DA6812"/>
    <w:rsid w:val="00DB5E35"/>
    <w:rsid w:val="00DD72E1"/>
    <w:rsid w:val="00E341E4"/>
    <w:rsid w:val="00E65CFD"/>
    <w:rsid w:val="00EA01F4"/>
    <w:rsid w:val="00EA5AAE"/>
    <w:rsid w:val="00ED556A"/>
    <w:rsid w:val="00EE0FBD"/>
    <w:rsid w:val="00EE59A8"/>
    <w:rsid w:val="00EE78FA"/>
    <w:rsid w:val="00EF24AA"/>
    <w:rsid w:val="00F070E6"/>
    <w:rsid w:val="00F10F82"/>
    <w:rsid w:val="00F20B9B"/>
    <w:rsid w:val="00F4365D"/>
    <w:rsid w:val="00F47C21"/>
    <w:rsid w:val="00F70AB9"/>
    <w:rsid w:val="00F750CA"/>
    <w:rsid w:val="00F81769"/>
    <w:rsid w:val="00FC7484"/>
    <w:rsid w:val="00FE7488"/>
    <w:rsid w:val="00FF3642"/>
    <w:rsid w:val="02A248C2"/>
    <w:rsid w:val="04767CFD"/>
    <w:rsid w:val="057D0057"/>
    <w:rsid w:val="06152E42"/>
    <w:rsid w:val="0FA14003"/>
    <w:rsid w:val="13EE423F"/>
    <w:rsid w:val="15FE6B1D"/>
    <w:rsid w:val="16626290"/>
    <w:rsid w:val="25E2022B"/>
    <w:rsid w:val="26610D83"/>
    <w:rsid w:val="2A9B6B96"/>
    <w:rsid w:val="2B32594B"/>
    <w:rsid w:val="2D3732B7"/>
    <w:rsid w:val="2DC953E1"/>
    <w:rsid w:val="2DD011BB"/>
    <w:rsid w:val="3E416323"/>
    <w:rsid w:val="453F2DDE"/>
    <w:rsid w:val="465A1352"/>
    <w:rsid w:val="49464994"/>
    <w:rsid w:val="4A0E32DB"/>
    <w:rsid w:val="4BA51972"/>
    <w:rsid w:val="4E7D6937"/>
    <w:rsid w:val="4F057BCA"/>
    <w:rsid w:val="5FC63D2E"/>
    <w:rsid w:val="62667EB9"/>
    <w:rsid w:val="738F030F"/>
    <w:rsid w:val="755302E9"/>
    <w:rsid w:val="755F090F"/>
    <w:rsid w:val="7AAB44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bCs/>
    </w:rPr>
  </w:style>
  <w:style w:type="character" w:customStyle="1" w:styleId="10">
    <w:name w:val="页眉 Char"/>
    <w:basedOn w:val="8"/>
    <w:link w:val="4"/>
    <w:semiHidden/>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uiPriority w:val="99"/>
    <w:rPr>
      <w:rFonts w:ascii="Times New Roman" w:hAnsi="Times New Roman" w:eastAsia="仿宋_GB2312" w:cs="Times New Roman"/>
      <w:sz w:val="18"/>
      <w:szCs w:val="18"/>
    </w:rPr>
  </w:style>
  <w:style w:type="paragraph" w:styleId="13">
    <w:name w:val="List Paragraph"/>
    <w:basedOn w:val="1"/>
    <w:qFormat/>
    <w:uiPriority w:val="34"/>
    <w:pPr>
      <w:ind w:firstLine="420" w:firstLineChars="200"/>
    </w:pPr>
  </w:style>
  <w:style w:type="paragraph" w:customStyle="1" w:styleId="14">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875</Words>
  <Characters>903</Characters>
  <Lines>12</Lines>
  <Paragraphs>3</Paragraphs>
  <TotalTime>5</TotalTime>
  <ScaleCrop>false</ScaleCrop>
  <LinksUpToDate>false</LinksUpToDate>
  <CharactersWithSpaces>929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2017-05-15T09:21:00Z</dcterms:created>
  <dc:creator>lenovo</dc:creator>
  <cp:lastModifiedBy>DELL</cp:lastModifiedBy>
  <cp:lastPrinted>2021-11-16T07:26:00Z</cp:lastPrinted>
  <dcterms:modified xsi:type="dcterms:W3CDTF">2022-07-02T03:25:56Z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3A14C98DA48342BEA941426D498E1746</vt:lpwstr>
  </property>
</Properties>
</file>